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4A8DC" w14:textId="77777777" w:rsidR="00C607E5" w:rsidRDefault="00C607E5" w:rsidP="00C607E5">
      <w:pPr>
        <w:rPr>
          <w:color w:val="373737"/>
        </w:rPr>
      </w:pPr>
      <w:r>
        <w:rPr>
          <w:b/>
          <w:bCs/>
          <w:sz w:val="24"/>
          <w:szCs w:val="24"/>
        </w:rPr>
        <w:t>Manufacturer Eligibility Percentages (particularly firewall eligibility)</w:t>
      </w:r>
      <w:r>
        <w:rPr>
          <w:sz w:val="24"/>
          <w:szCs w:val="24"/>
        </w:rPr>
        <w:t xml:space="preserve"> </w:t>
      </w:r>
      <w:r>
        <w:t xml:space="preserve">– Several manufacturers provide documents or search engines that provide E-rate eligibility percentages for their </w:t>
      </w:r>
      <w:proofErr w:type="gramStart"/>
      <w:r>
        <w:t>products</w:t>
      </w:r>
      <w:proofErr w:type="gramEnd"/>
      <w:r>
        <w:t xml:space="preserve"> and I’ve provided links to those resources below.  These are especially helpful when applying for firewall equipment.  Currently only basic firewall appliances are eligible for FY 2024 (none of the advanced features like anti-spam, anti-virus, etc.) and some manufacturers bundle advanced features with their firewalls instead of pricing them separately.  In these cases, the vendor should provide you with a % E-rate eligibility for the specific bundle </w:t>
      </w:r>
      <w:proofErr w:type="gramStart"/>
      <w:r>
        <w:t>you’re</w:t>
      </w:r>
      <w:proofErr w:type="gramEnd"/>
      <w:r>
        <w:t xml:space="preserve"> seeking.  </w:t>
      </w:r>
    </w:p>
    <w:p w14:paraId="265EAED4" w14:textId="77777777" w:rsidR="00C607E5" w:rsidRDefault="00C607E5" w:rsidP="00C607E5">
      <w:pPr>
        <w:rPr>
          <w:color w:val="373737"/>
        </w:rPr>
      </w:pPr>
    </w:p>
    <w:p w14:paraId="1965D51F" w14:textId="77777777" w:rsidR="00C607E5" w:rsidRDefault="00C607E5" w:rsidP="00C607E5">
      <w:pPr>
        <w:numPr>
          <w:ilvl w:val="0"/>
          <w:numId w:val="1"/>
        </w:numPr>
        <w:rPr>
          <w:rFonts w:ascii="Open Sans" w:eastAsia="Times New Roman" w:hAnsi="Open Sans" w:cs="Open Sans"/>
          <w:color w:val="373737"/>
          <w:sz w:val="20"/>
          <w:szCs w:val="20"/>
        </w:rPr>
      </w:pPr>
      <w:hyperlink r:id="rId5" w:tgtFrame="_blank" w:tooltip="Arista" w:history="1">
        <w:r>
          <w:rPr>
            <w:rStyle w:val="Hyperlink"/>
            <w:rFonts w:ascii="Open Sans" w:eastAsia="Times New Roman" w:hAnsi="Open Sans" w:cs="Open Sans"/>
            <w:color w:val="3BABBA"/>
            <w:sz w:val="20"/>
            <w:szCs w:val="20"/>
            <w:u w:val="none"/>
          </w:rPr>
          <w:t>Arista</w:t>
        </w:r>
      </w:hyperlink>
    </w:p>
    <w:p w14:paraId="72ADB6C6" w14:textId="77777777" w:rsidR="00C607E5" w:rsidRDefault="00C607E5" w:rsidP="00C607E5">
      <w:pPr>
        <w:numPr>
          <w:ilvl w:val="0"/>
          <w:numId w:val="1"/>
        </w:numPr>
        <w:rPr>
          <w:rFonts w:ascii="Open Sans" w:eastAsia="Times New Roman" w:hAnsi="Open Sans" w:cs="Open Sans"/>
          <w:color w:val="373737"/>
          <w:sz w:val="20"/>
          <w:szCs w:val="20"/>
        </w:rPr>
      </w:pPr>
      <w:hyperlink r:id="rId6" w:tgtFrame="_blank" w:tooltip="Aruba" w:history="1">
        <w:r>
          <w:rPr>
            <w:rStyle w:val="Hyperlink"/>
            <w:rFonts w:ascii="Open Sans" w:eastAsia="Times New Roman" w:hAnsi="Open Sans" w:cs="Open Sans"/>
            <w:color w:val="3BABBA"/>
            <w:sz w:val="20"/>
            <w:szCs w:val="20"/>
            <w:u w:val="none"/>
          </w:rPr>
          <w:t>HP/Aruba Networks</w:t>
        </w:r>
      </w:hyperlink>
    </w:p>
    <w:p w14:paraId="0D49CE72" w14:textId="77777777" w:rsidR="00C607E5" w:rsidRDefault="00C607E5" w:rsidP="00C607E5">
      <w:pPr>
        <w:numPr>
          <w:ilvl w:val="0"/>
          <w:numId w:val="1"/>
        </w:numPr>
        <w:rPr>
          <w:rFonts w:ascii="Open Sans" w:eastAsia="Times New Roman" w:hAnsi="Open Sans" w:cs="Open Sans"/>
          <w:color w:val="373737"/>
          <w:sz w:val="20"/>
          <w:szCs w:val="20"/>
        </w:rPr>
      </w:pPr>
      <w:hyperlink r:id="rId7" w:tgtFrame="_blank" w:tooltip="Cisco/Meraki" w:history="1">
        <w:r>
          <w:rPr>
            <w:rStyle w:val="Hyperlink"/>
            <w:rFonts w:ascii="Open Sans" w:eastAsia="Times New Roman" w:hAnsi="Open Sans" w:cs="Open Sans"/>
            <w:color w:val="3BABBA"/>
            <w:sz w:val="20"/>
            <w:szCs w:val="20"/>
            <w:u w:val="none"/>
          </w:rPr>
          <w:t>Cisco/Meraki</w:t>
        </w:r>
      </w:hyperlink>
    </w:p>
    <w:p w14:paraId="638194B3" w14:textId="77777777" w:rsidR="00C607E5" w:rsidRDefault="00C607E5" w:rsidP="00C607E5">
      <w:pPr>
        <w:numPr>
          <w:ilvl w:val="0"/>
          <w:numId w:val="1"/>
        </w:numPr>
        <w:rPr>
          <w:rFonts w:ascii="Open Sans" w:eastAsia="Times New Roman" w:hAnsi="Open Sans" w:cs="Open Sans"/>
          <w:color w:val="373737"/>
          <w:sz w:val="20"/>
          <w:szCs w:val="20"/>
        </w:rPr>
      </w:pPr>
      <w:hyperlink r:id="rId8" w:tgtFrame="_blank" w:tooltip="Fortinet" w:history="1">
        <w:r>
          <w:rPr>
            <w:rStyle w:val="Hyperlink"/>
            <w:rFonts w:ascii="Open Sans" w:eastAsia="Times New Roman" w:hAnsi="Open Sans" w:cs="Open Sans"/>
            <w:color w:val="3BABBA"/>
            <w:sz w:val="20"/>
            <w:szCs w:val="20"/>
            <w:u w:val="none"/>
          </w:rPr>
          <w:t>Fortinet</w:t>
        </w:r>
      </w:hyperlink>
    </w:p>
    <w:p w14:paraId="7D327416" w14:textId="77777777" w:rsidR="00C607E5" w:rsidRDefault="00C607E5" w:rsidP="00C607E5">
      <w:pPr>
        <w:numPr>
          <w:ilvl w:val="0"/>
          <w:numId w:val="1"/>
        </w:numPr>
        <w:rPr>
          <w:rFonts w:ascii="Open Sans" w:eastAsia="Times New Roman" w:hAnsi="Open Sans" w:cs="Open Sans"/>
          <w:color w:val="373737"/>
          <w:sz w:val="20"/>
          <w:szCs w:val="20"/>
        </w:rPr>
      </w:pPr>
      <w:hyperlink r:id="rId9" w:tgtFrame="_blank" w:tooltip="Sophos" w:history="1">
        <w:r>
          <w:rPr>
            <w:rStyle w:val="Hyperlink"/>
            <w:rFonts w:ascii="Open Sans" w:eastAsia="Times New Roman" w:hAnsi="Open Sans" w:cs="Open Sans"/>
            <w:color w:val="3BABBA"/>
            <w:sz w:val="20"/>
            <w:szCs w:val="20"/>
            <w:u w:val="none"/>
          </w:rPr>
          <w:t>Sophos</w:t>
        </w:r>
      </w:hyperlink>
    </w:p>
    <w:p w14:paraId="139C60C3" w14:textId="77777777" w:rsidR="00C607E5" w:rsidRDefault="00C607E5" w:rsidP="00C607E5">
      <w:pPr>
        <w:numPr>
          <w:ilvl w:val="0"/>
          <w:numId w:val="1"/>
        </w:numPr>
        <w:rPr>
          <w:rFonts w:ascii="Open Sans" w:eastAsia="Times New Roman" w:hAnsi="Open Sans" w:cs="Open Sans"/>
          <w:color w:val="373737"/>
          <w:sz w:val="20"/>
          <w:szCs w:val="20"/>
        </w:rPr>
      </w:pPr>
      <w:hyperlink r:id="rId10" w:tgtFrame="_blank" w:tooltip="Juniper" w:history="1">
        <w:r>
          <w:rPr>
            <w:rStyle w:val="Hyperlink"/>
            <w:rFonts w:ascii="Open Sans" w:eastAsia="Times New Roman" w:hAnsi="Open Sans" w:cs="Open Sans"/>
            <w:color w:val="3BABBA"/>
            <w:sz w:val="20"/>
            <w:szCs w:val="20"/>
            <w:u w:val="none"/>
          </w:rPr>
          <w:t>Juniper</w:t>
        </w:r>
      </w:hyperlink>
      <w:r>
        <w:rPr>
          <w:rFonts w:ascii="Open Sans" w:eastAsia="Times New Roman" w:hAnsi="Open Sans" w:cs="Open Sans"/>
          <w:color w:val="373737"/>
          <w:sz w:val="20"/>
          <w:szCs w:val="20"/>
        </w:rPr>
        <w:t> (PDF)</w:t>
      </w:r>
    </w:p>
    <w:p w14:paraId="7138DA8D" w14:textId="77777777" w:rsidR="00C607E5" w:rsidRDefault="00C607E5" w:rsidP="00C607E5">
      <w:pPr>
        <w:numPr>
          <w:ilvl w:val="0"/>
          <w:numId w:val="1"/>
        </w:numPr>
        <w:rPr>
          <w:rFonts w:ascii="Open Sans" w:eastAsia="Times New Roman" w:hAnsi="Open Sans" w:cs="Open Sans"/>
          <w:color w:val="373737"/>
          <w:sz w:val="20"/>
          <w:szCs w:val="20"/>
        </w:rPr>
      </w:pPr>
      <w:hyperlink r:id="rId11" w:tgtFrame="_blank" w:history="1">
        <w:proofErr w:type="spellStart"/>
        <w:r>
          <w:rPr>
            <w:rStyle w:val="Hyperlink"/>
            <w:rFonts w:ascii="Open Sans" w:eastAsia="Times New Roman" w:hAnsi="Open Sans" w:cs="Open Sans"/>
            <w:color w:val="3BABBA"/>
            <w:sz w:val="20"/>
            <w:szCs w:val="20"/>
            <w:u w:val="none"/>
          </w:rPr>
          <w:t>Netg</w:t>
        </w:r>
        <w:r>
          <w:rPr>
            <w:rStyle w:val="Hyperlink"/>
            <w:rFonts w:ascii="Open Sans" w:eastAsia="Times New Roman" w:hAnsi="Open Sans" w:cs="Open Sans"/>
            <w:color w:val="3BABBA"/>
            <w:sz w:val="20"/>
            <w:szCs w:val="20"/>
            <w:u w:val="none"/>
          </w:rPr>
          <w:t>a</w:t>
        </w:r>
        <w:r>
          <w:rPr>
            <w:rStyle w:val="Hyperlink"/>
            <w:rFonts w:ascii="Open Sans" w:eastAsia="Times New Roman" w:hAnsi="Open Sans" w:cs="Open Sans"/>
            <w:color w:val="3BABBA"/>
            <w:sz w:val="20"/>
            <w:szCs w:val="20"/>
            <w:u w:val="none"/>
          </w:rPr>
          <w:t>te</w:t>
        </w:r>
        <w:proofErr w:type="spellEnd"/>
      </w:hyperlink>
      <w:r>
        <w:rPr>
          <w:rFonts w:ascii="Open Sans" w:eastAsia="Times New Roman" w:hAnsi="Open Sans" w:cs="Open Sans"/>
          <w:color w:val="373737"/>
          <w:sz w:val="20"/>
          <w:szCs w:val="20"/>
        </w:rPr>
        <w:t> (PDF)</w:t>
      </w:r>
    </w:p>
    <w:p w14:paraId="2D253887" w14:textId="77777777" w:rsidR="00C607E5" w:rsidRDefault="00C607E5" w:rsidP="00C607E5">
      <w:pPr>
        <w:numPr>
          <w:ilvl w:val="0"/>
          <w:numId w:val="1"/>
        </w:numPr>
        <w:rPr>
          <w:rFonts w:ascii="Open Sans" w:eastAsia="Times New Roman" w:hAnsi="Open Sans" w:cs="Open Sans"/>
          <w:color w:val="373737"/>
          <w:sz w:val="20"/>
          <w:szCs w:val="20"/>
        </w:rPr>
      </w:pPr>
      <w:hyperlink r:id="rId12" w:tgtFrame="_blank" w:tooltip="Palo Alto" w:history="1">
        <w:r>
          <w:rPr>
            <w:rStyle w:val="Hyperlink"/>
            <w:rFonts w:ascii="Open Sans" w:eastAsia="Times New Roman" w:hAnsi="Open Sans" w:cs="Open Sans"/>
            <w:color w:val="3BABBA"/>
            <w:sz w:val="20"/>
            <w:szCs w:val="20"/>
            <w:u w:val="none"/>
          </w:rPr>
          <w:t>Palo Alto</w:t>
        </w:r>
      </w:hyperlink>
      <w:r>
        <w:rPr>
          <w:rFonts w:ascii="Open Sans" w:eastAsia="Times New Roman" w:hAnsi="Open Sans" w:cs="Open Sans"/>
          <w:color w:val="373737"/>
          <w:sz w:val="20"/>
          <w:szCs w:val="20"/>
        </w:rPr>
        <w:t> (PDF)</w:t>
      </w:r>
    </w:p>
    <w:p w14:paraId="07F65CB4" w14:textId="77777777" w:rsidR="00C607E5" w:rsidRDefault="00C607E5" w:rsidP="00C607E5">
      <w:pPr>
        <w:numPr>
          <w:ilvl w:val="0"/>
          <w:numId w:val="1"/>
        </w:numPr>
        <w:rPr>
          <w:rFonts w:ascii="Open Sans" w:eastAsia="Times New Roman" w:hAnsi="Open Sans" w:cs="Open Sans"/>
          <w:color w:val="373737"/>
          <w:sz w:val="20"/>
          <w:szCs w:val="20"/>
        </w:rPr>
      </w:pPr>
      <w:hyperlink r:id="rId13" w:tgtFrame="_blank" w:history="1">
        <w:r>
          <w:rPr>
            <w:rStyle w:val="Hyperlink"/>
            <w:rFonts w:ascii="Open Sans" w:eastAsia="Times New Roman" w:hAnsi="Open Sans" w:cs="Open Sans"/>
            <w:color w:val="3BABBA"/>
            <w:sz w:val="20"/>
            <w:szCs w:val="20"/>
            <w:u w:val="none"/>
          </w:rPr>
          <w:t>Wat</w:t>
        </w:r>
        <w:r>
          <w:rPr>
            <w:rStyle w:val="Hyperlink"/>
            <w:rFonts w:ascii="Open Sans" w:eastAsia="Times New Roman" w:hAnsi="Open Sans" w:cs="Open Sans"/>
            <w:color w:val="3BABBA"/>
            <w:sz w:val="20"/>
            <w:szCs w:val="20"/>
            <w:u w:val="none"/>
          </w:rPr>
          <w:t>c</w:t>
        </w:r>
        <w:r>
          <w:rPr>
            <w:rStyle w:val="Hyperlink"/>
            <w:rFonts w:ascii="Open Sans" w:eastAsia="Times New Roman" w:hAnsi="Open Sans" w:cs="Open Sans"/>
            <w:color w:val="3BABBA"/>
            <w:sz w:val="20"/>
            <w:szCs w:val="20"/>
            <w:u w:val="none"/>
          </w:rPr>
          <w:t>hguard</w:t>
        </w:r>
      </w:hyperlink>
      <w:r>
        <w:rPr>
          <w:rFonts w:ascii="Open Sans" w:eastAsia="Times New Roman" w:hAnsi="Open Sans" w:cs="Open Sans"/>
          <w:color w:val="373737"/>
          <w:sz w:val="20"/>
          <w:szCs w:val="20"/>
        </w:rPr>
        <w:t> (PDF)</w:t>
      </w:r>
    </w:p>
    <w:p w14:paraId="114F07B6" w14:textId="77777777" w:rsidR="00C607E5" w:rsidRDefault="00C607E5" w:rsidP="00C607E5">
      <w:pPr>
        <w:rPr>
          <w:rFonts w:ascii="Calibri" w:hAnsi="Calibri"/>
        </w:rPr>
      </w:pPr>
    </w:p>
    <w:p w14:paraId="1FE78BF0" w14:textId="77777777" w:rsidR="00C607E5" w:rsidRDefault="00C607E5" w:rsidP="00C607E5"/>
    <w:p w14:paraId="10F04038" w14:textId="77777777" w:rsidR="00C607E5" w:rsidRDefault="00C607E5" w:rsidP="00C607E5"/>
    <w:p w14:paraId="06B9913A" w14:textId="77777777" w:rsidR="0022687C" w:rsidRPr="00C607E5" w:rsidRDefault="0022687C" w:rsidP="00C607E5"/>
    <w:sectPr w:rsidR="0022687C" w:rsidRPr="00C60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40A60"/>
    <w:multiLevelType w:val="multilevel"/>
    <w:tmpl w:val="829C2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44575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E5"/>
    <w:rsid w:val="0022687C"/>
    <w:rsid w:val="00C6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A275"/>
  <w15:chartTrackingRefBased/>
  <w15:docId w15:val="{50F210C5-9155-4C3E-9685-74E2DE18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7E5"/>
    <w:pPr>
      <w:spacing w:after="0" w:line="240" w:lineRule="auto"/>
    </w:pPr>
    <w:rPr>
      <w:rFonts w:ascii="Aptos" w:hAnsi="Aptos"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07E5"/>
    <w:rPr>
      <w:color w:val="467886"/>
      <w:u w:val="single"/>
    </w:rPr>
  </w:style>
  <w:style w:type="character" w:styleId="FollowedHyperlink">
    <w:name w:val="FollowedHyperlink"/>
    <w:basedOn w:val="DefaultParagraphFont"/>
    <w:uiPriority w:val="99"/>
    <w:semiHidden/>
    <w:unhideWhenUsed/>
    <w:rsid w:val="00C607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8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gible.fundsforlearning.com/ProductEligibility/" TargetMode="External"/><Relationship Id="rId13" Type="http://schemas.openxmlformats.org/officeDocument/2006/relationships/hyperlink" Target="https://secaerate.net/resources/Documents/Resources_Applicant/C2_Allocations/WATCHGUARD-ERATE-ELIGIBILITY-LIST-2022-v1.1.pdf" TargetMode="External"/><Relationship Id="rId3" Type="http://schemas.openxmlformats.org/officeDocument/2006/relationships/settings" Target="settings.xml"/><Relationship Id="rId7" Type="http://schemas.openxmlformats.org/officeDocument/2006/relationships/hyperlink" Target="https://www.ciscoerate.com/ProductEligibility/" TargetMode="External"/><Relationship Id="rId12" Type="http://schemas.openxmlformats.org/officeDocument/2006/relationships/hyperlink" Target="https://www.paloaltonetworks.com/content/dam/pan/en_US/assets/pdf/education/palo-alto-networks-e-rate-eligibility-v10-8-3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ubanetworks.com/eratetool/" TargetMode="External"/><Relationship Id="rId11" Type="http://schemas.openxmlformats.org/officeDocument/2006/relationships/hyperlink" Target="https://secaerate.net/resources/Documents/Resources_Applicant/C2_Allocations/Netgate-Erate-Eligibility-2023.pdf" TargetMode="External"/><Relationship Id="rId5" Type="http://schemas.openxmlformats.org/officeDocument/2006/relationships/hyperlink" Target="http://erateproviderservices.com/arista-home/product-eligibility/" TargetMode="External"/><Relationship Id="rId15" Type="http://schemas.openxmlformats.org/officeDocument/2006/relationships/theme" Target="theme/theme1.xml"/><Relationship Id="rId10" Type="http://schemas.openxmlformats.org/officeDocument/2006/relationships/hyperlink" Target="https://www.juniper.net/assets/us/en/local/pdf/faqs/9030313-en.pdf" TargetMode="External"/><Relationship Id="rId4" Type="http://schemas.openxmlformats.org/officeDocument/2006/relationships/webSettings" Target="webSettings.xml"/><Relationship Id="rId9" Type="http://schemas.openxmlformats.org/officeDocument/2006/relationships/hyperlink" Target="http://erateproviderservices.com/sophos-home/product-eligibi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Dietrich</dc:creator>
  <cp:keywords/>
  <dc:description/>
  <cp:lastModifiedBy>Donald Dietrich</cp:lastModifiedBy>
  <cp:revision>1</cp:revision>
  <dcterms:created xsi:type="dcterms:W3CDTF">2024-03-27T18:27:00Z</dcterms:created>
  <dcterms:modified xsi:type="dcterms:W3CDTF">2024-03-27T18:28:00Z</dcterms:modified>
</cp:coreProperties>
</file>